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 xml:space="preserve">SMLOUVA O DÍLO NA ZHOTOVENÍ </w:t>
      </w:r>
      <w:r w:rsidRPr="00427BC2">
        <w:t>STAVBY</w:t>
      </w:r>
      <w:r w:rsidR="00485CE8">
        <w:t xml:space="preserve"> </w:t>
      </w:r>
    </w:p>
    <w:p w14:paraId="2FF71BCE" w14:textId="31A4E757" w:rsidR="00F422D3" w:rsidRDefault="00F422D3" w:rsidP="00B42F40">
      <w:pPr>
        <w:pStyle w:val="Titul2"/>
      </w:pPr>
      <w:r>
        <w:t>Název zakázky: „</w:t>
      </w:r>
      <w:r w:rsidR="00AF23B1">
        <w:t>Údržba, opravy a odstraňování závad u SSZT OŘ OVA 2024 – Oprava technologie CDP Přerov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43828"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7CD8C5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AF23B1">
        <w:t>24142</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AF23B1">
        <w:rPr>
          <w:b/>
        </w:rPr>
        <w:t>Údržba, opravy a odstraňování závad u SSZT OŘ OVA 2024 – Oprava technologie CDP Přerov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F7FD8D6" w:rsidR="00F24489" w:rsidRPr="00427BC2" w:rsidRDefault="00F24489" w:rsidP="00F24489">
      <w:pPr>
        <w:pStyle w:val="Textbezslovn"/>
        <w:rPr>
          <w:highlight w:val="red"/>
        </w:rPr>
      </w:pPr>
      <w:r w:rsidRPr="002E2018">
        <w:t xml:space="preserve">slovy: </w:t>
      </w:r>
      <w:r w:rsidRPr="002E2018">
        <w:tab/>
      </w:r>
      <w:r w:rsidRPr="002E2018">
        <w:tab/>
      </w:r>
      <w:r w:rsidRPr="002E2018">
        <w:tab/>
      </w:r>
      <w:r w:rsidR="002E2018" w:rsidRPr="00611DEA">
        <w:rPr>
          <w:highlight w:val="lightGray"/>
        </w:rPr>
        <w:t>"[VLOŽÍ OBJEDNATEL]"</w:t>
      </w:r>
      <w:r w:rsidR="002E2018">
        <w:rPr>
          <w:b/>
        </w:rPr>
        <w:t xml:space="preserve"> </w:t>
      </w:r>
      <w:r w:rsidR="002E2018" w:rsidRPr="00F97DBD">
        <w:t>korun českých</w:t>
      </w:r>
      <w:r w:rsidR="002E2018" w:rsidRPr="002E2018" w:rsidDel="002E2018">
        <w:rPr>
          <w:highlight w:val="red"/>
        </w:rPr>
        <w:t xml:space="preserve"> </w:t>
      </w:r>
    </w:p>
    <w:p w14:paraId="758E28D5" w14:textId="1595EDB5" w:rsidR="00F24489" w:rsidRDefault="002E2018" w:rsidP="00F24489">
      <w:pPr>
        <w:pStyle w:val="Textbezslovn"/>
      </w:pPr>
      <w:r w:rsidRPr="00425217">
        <w:t xml:space="preserve">Rozpis Ceny Díla dle jednotlivých položek je uveden v Příloze č. 4 této </w:t>
      </w:r>
      <w:r w:rsidRPr="002E2018">
        <w:t>Smlouvy</w:t>
      </w:r>
      <w:r w:rsidR="00F24489" w:rsidRPr="002E2018">
        <w:t>.</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F24489"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D56478">
        <w:rPr>
          <w:b/>
        </w:rPr>
        <w:t>č.2 b) Smlouvy.</w:t>
      </w:r>
    </w:p>
    <w:p w14:paraId="0532BC66" w14:textId="387F2765" w:rsidR="00F24489" w:rsidRPr="00D0058E" w:rsidRDefault="00F24489" w:rsidP="00F24489">
      <w:pPr>
        <w:pStyle w:val="Textbezslovn"/>
        <w:rPr>
          <w:b/>
        </w:rPr>
      </w:pPr>
      <w:r w:rsidRPr="00F24489">
        <w:rPr>
          <w:b/>
        </w:rPr>
        <w:t xml:space="preserve">Celková lhůta pro dokončení Díla </w:t>
      </w:r>
      <w:r w:rsidRPr="00D0058E">
        <w:rPr>
          <w:b/>
        </w:rPr>
        <w:t xml:space="preserve">činí celkem </w:t>
      </w:r>
      <w:r w:rsidR="00D0058E" w:rsidRPr="00D0058E">
        <w:rPr>
          <w:b/>
        </w:rPr>
        <w:t xml:space="preserve">4 </w:t>
      </w:r>
      <w:r w:rsidRPr="00D0058E">
        <w:rPr>
          <w:b/>
        </w:rPr>
        <w:t>měsíců ode Dne zahájení stavebních prací (dokladem prokazujícím, že Zhotovitel dokončil celé Dílo, je Předávací protokol dle odst. 10.4 Obchodních podmínek).</w:t>
      </w:r>
    </w:p>
    <w:p w14:paraId="067250B4" w14:textId="6F5FE06E" w:rsidR="00F24489" w:rsidRDefault="00F24489" w:rsidP="00F24489">
      <w:pPr>
        <w:pStyle w:val="Textbezslovn"/>
      </w:pPr>
      <w:r w:rsidRPr="00D0058E">
        <w:t xml:space="preserve">Lhůta pro dokončení stavebních prací činí celkem </w:t>
      </w:r>
      <w:r w:rsidR="00D0058E" w:rsidRPr="00D0058E">
        <w:rPr>
          <w:b/>
        </w:rPr>
        <w:t xml:space="preserve">4 </w:t>
      </w:r>
      <w:r w:rsidRPr="00D0058E">
        <w:rPr>
          <w:b/>
        </w:rPr>
        <w:t>měsíců</w:t>
      </w:r>
      <w:r w:rsidRPr="00D0058E">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1DEDA7F8" w:rsidR="00F24489" w:rsidRDefault="00F24489" w:rsidP="00D0058E">
      <w:pPr>
        <w:pStyle w:val="Text1-1"/>
      </w:pPr>
      <w:r w:rsidRPr="00F97DBD">
        <w:lastRenderedPageBreak/>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bookmarkStart w:id="4" w:name="_Hlk161404616"/>
      <w:r w:rsidRPr="00D0058E">
        <w:t>Smluvní strany se dohodly, že dokumentaci skutečného provedení Zhotovitel nevyhotovuje a nepředává Objednateli. Ustanovení Obchodních podmínek týkající se dokumentace skutečného provedení se nepoužijí.</w:t>
      </w:r>
    </w:p>
    <w:bookmarkEnd w:id="4"/>
    <w:p w14:paraId="1567BB0D" w14:textId="4A854A2C" w:rsidR="00830C9D" w:rsidRPr="00D0058E" w:rsidRDefault="00D0058E" w:rsidP="00830C9D">
      <w:pPr>
        <w:pStyle w:val="Text1-1"/>
      </w:pPr>
      <w:r w:rsidRPr="00D0058E">
        <w:t>Neobsazeno</w:t>
      </w:r>
      <w:r w:rsidR="002E2018">
        <w:t>.</w:t>
      </w:r>
    </w:p>
    <w:p w14:paraId="38CF7383" w14:textId="77777777" w:rsidR="00F24489" w:rsidRDefault="00214C3E" w:rsidP="00214C3E">
      <w:pPr>
        <w:pStyle w:val="Nadpis1-1"/>
      </w:pPr>
      <w:r w:rsidRPr="00214C3E">
        <w:t>ZÁRUKY, DALŠÍ USTANOVENÍ A ODLIŠNÁ USTANOVENÍ OD OBCHODNÍCH PODMÍNEK</w:t>
      </w:r>
    </w:p>
    <w:p w14:paraId="5E83BC8B" w14:textId="33CCE4F6"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 xml:space="preserve">ustanovení čl. </w:t>
      </w:r>
      <w:r w:rsidR="002E2018" w:rsidRPr="00E97C05">
        <w:t>14, čl.</w:t>
      </w:r>
      <w:r w:rsidRPr="00E97C05">
        <w:t xml:space="preserve">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41CED622" w:rsidR="00214C3E" w:rsidRPr="00B02AB2" w:rsidRDefault="00214C3E" w:rsidP="00B02AB2">
      <w:pPr>
        <w:pStyle w:val="Text1-1"/>
      </w:pPr>
      <w:r w:rsidRPr="00B02AB2">
        <w:t xml:space="preserve">Při realizaci Díla nejsou plánovány výluky. Pokud z důvodů na straně Zhotovitele bude nutné výluku realizovat, dohodly se Smluvní strany, že na takovouto výluku se uplatní </w:t>
      </w:r>
      <w:r w:rsidR="00830C9D" w:rsidRPr="00B02AB2">
        <w:t>ustanovení odst.</w:t>
      </w:r>
      <w:r w:rsidRPr="00B02AB2">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513EF7" w:rsidRDefault="00214C3E" w:rsidP="00513EF7">
      <w:pPr>
        <w:pStyle w:val="Text1-1"/>
      </w:pPr>
      <w:r w:rsidRPr="00513EF7">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39681A48" w:rsidR="00D56478" w:rsidRPr="00B02AB2" w:rsidRDefault="00B02AB2" w:rsidP="00830C9D">
      <w:pPr>
        <w:pStyle w:val="Text1-1"/>
      </w:pPr>
      <w:bookmarkStart w:id="5" w:name="_Hlk161404689"/>
      <w:r w:rsidRPr="00B02AB2">
        <w:t>Neobsazeno</w:t>
      </w:r>
      <w:r w:rsidR="00E97C05" w:rsidRPr="00B02AB2">
        <w:t>.</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9972D6">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03BBA970"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B02AB2">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sidRPr="0010127F">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558BAC6B" w14:textId="6BB6CA05" w:rsidR="00E97C05" w:rsidRPr="00B02AB2" w:rsidRDefault="009972D6" w:rsidP="00B02AB2">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B02AB2">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lastRenderedPageBreak/>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lastRenderedPageBreak/>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C618C1D" w:rsidR="00214C3E" w:rsidRPr="00F97DBD" w:rsidRDefault="00214C3E" w:rsidP="00D61094">
            <w:pPr>
              <w:pStyle w:val="Textbezslovn"/>
              <w:ind w:hanging="136"/>
            </w:pPr>
            <w:r w:rsidRPr="00F97DBD">
              <w:t xml:space="preserve">b) </w:t>
            </w:r>
            <w:r w:rsidR="00D61094">
              <w:t xml:space="preserve"> </w:t>
            </w:r>
            <w:r w:rsidRPr="00F97DBD">
              <w:t>Zvláštní technické podmínky</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A43828"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0D142514" w:rsidR="000D2628" w:rsidRPr="00E22B1F" w:rsidRDefault="00E463D2" w:rsidP="00E463D2">
      <w:pPr>
        <w:pStyle w:val="Odstavec1-1a"/>
        <w:rPr>
          <w:b/>
        </w:rPr>
      </w:pPr>
      <w:r w:rsidRPr="00E22B1F">
        <w:rPr>
          <w:b/>
        </w:rPr>
        <w:t>Zvláštní technické podmínky</w:t>
      </w:r>
      <w:r w:rsidR="00BD002D">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7D50B472" w:rsidR="00DE3AEB" w:rsidRPr="00BD002D" w:rsidRDefault="00BD002D" w:rsidP="00F2090B">
      <w:pPr>
        <w:pStyle w:val="Odrka1-1"/>
        <w:numPr>
          <w:ilvl w:val="0"/>
          <w:numId w:val="5"/>
        </w:numPr>
      </w:pPr>
      <w:bookmarkStart w:id="18" w:name="_Hlk161404908"/>
      <w:r w:rsidRPr="00BD002D">
        <w:t>bez souvisejících dokumentů</w:t>
      </w:r>
      <w:r w:rsidR="00DE3AEB" w:rsidRPr="00BD002D">
        <w:rPr>
          <w:rFonts w:ascii="Verdana" w:hAnsi="Verdana"/>
          <w:color w:val="000000"/>
        </w:rPr>
        <w:t xml:space="preserve"> </w:t>
      </w:r>
    </w:p>
    <w:bookmarkEnd w:id="18"/>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9" w:name="_Hlk161404931"/>
      <w:r>
        <w:t xml:space="preserve">Rekapitulace </w:t>
      </w:r>
      <w:r w:rsidR="00E463D2" w:rsidRPr="00F97DBD">
        <w:t>Ceny Díla</w:t>
      </w:r>
    </w:p>
    <w:p w14:paraId="3830EFD5" w14:textId="77777777" w:rsidR="002E2018" w:rsidRPr="005667A8" w:rsidRDefault="002E2018" w:rsidP="002E2018">
      <w:pPr>
        <w:pStyle w:val="Odrka1-1"/>
        <w:numPr>
          <w:ilvl w:val="0"/>
          <w:numId w:val="5"/>
        </w:numPr>
        <w:rPr>
          <w:b/>
          <w:bCs/>
          <w:sz w:val="20"/>
          <w:szCs w:val="20"/>
        </w:rPr>
      </w:pPr>
      <w:r w:rsidRPr="005667A8">
        <w:rPr>
          <w:b/>
        </w:rPr>
        <w:t>Rekapitulace Ceny Díla dle jednotlivých položek:</w:t>
      </w:r>
    </w:p>
    <w:p w14:paraId="486D8230" w14:textId="77777777" w:rsidR="002E2018" w:rsidRPr="00E22B1F" w:rsidRDefault="002E2018" w:rsidP="002E2018">
      <w:pPr>
        <w:pStyle w:val="Odrka1-1"/>
        <w:numPr>
          <w:ilvl w:val="0"/>
          <w:numId w:val="0"/>
        </w:numPr>
        <w:ind w:left="737"/>
      </w:pPr>
    </w:p>
    <w:p w14:paraId="489A6457" w14:textId="54BD55ED" w:rsidR="00E22B1F" w:rsidRDefault="002E2018" w:rsidP="00E22B1F">
      <w:pPr>
        <w:tabs>
          <w:tab w:val="num" w:pos="1077"/>
        </w:tabs>
        <w:spacing w:after="120"/>
        <w:ind w:left="737" w:hanging="340"/>
        <w:contextualSpacing/>
        <w:jc w:val="both"/>
      </w:pPr>
      <w:r>
        <w:rPr>
          <w:highlight w:val="lightGray"/>
        </w:rPr>
        <w:tab/>
      </w:r>
      <w:r w:rsidRPr="007C3889">
        <w:rPr>
          <w:highlight w:val="lightGray"/>
        </w:rPr>
        <w:t>[Do přílohy Smlouvy bude vložen Položkový soupis prací s výkazem výměr předložený v nabídce účastníka.]</w:t>
      </w:r>
      <w:r w:rsidR="00E22B1F"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bookmarkEnd w:id="19"/>
    <w:p w14:paraId="53F99C18" w14:textId="77777777" w:rsidR="00BD002D" w:rsidRPr="00843429" w:rsidRDefault="00BD002D"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3189B1D5" w:rsidR="00502690" w:rsidRDefault="00502690" w:rsidP="00BD002D">
      <w:pPr>
        <w:pStyle w:val="Nadpisbezsl1-2"/>
      </w:pPr>
      <w:r>
        <w:t>Oprávněné osoby</w:t>
      </w:r>
      <w:bookmarkStart w:id="20" w:name="_Hlk159236738"/>
      <w:bookmarkStart w:id="21" w:name="_Hlk161404974"/>
    </w:p>
    <w:bookmarkEnd w:id="20"/>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A43828"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8E8C643" w:rsidR="00ED29F1" w:rsidRPr="00F95FBD" w:rsidRDefault="00BD002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Lukáš HANZL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4A17041" w:rsidR="00ED29F1" w:rsidRPr="00F95FB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Nerudova 773/1,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121D898" w:rsidR="00ED29F1" w:rsidRPr="00F95FB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HanzlL@spravazeleznic.cz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5D681E2" w:rsidR="00ED29F1" w:rsidRPr="00F95FB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+420 725 547 228</w:t>
            </w:r>
          </w:p>
        </w:tc>
      </w:tr>
      <w:tr w:rsidR="00BD002D" w:rsidRPr="00F95FBD" w14:paraId="53CCE08E" w14:textId="77777777" w:rsidTr="00427BC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5FAF3C79" w14:textId="79BEDCEB" w:rsidR="00BD002D" w:rsidRPr="00BD002D" w:rsidRDefault="00BD002D" w:rsidP="005A7872">
            <w:pPr>
              <w:pStyle w:val="Tabulka"/>
              <w:rPr>
                <w:sz w:val="18"/>
              </w:rPr>
            </w:pPr>
            <w:r>
              <w:rPr>
                <w:sz w:val="18"/>
              </w:rPr>
              <w:t>Jméno a příjmení</w:t>
            </w:r>
          </w:p>
        </w:tc>
        <w:tc>
          <w:tcPr>
            <w:tcW w:w="0" w:type="dxa"/>
            <w:shd w:val="clear" w:color="auto" w:fill="F2F2F2" w:themeFill="background1" w:themeFillShade="F2"/>
          </w:tcPr>
          <w:p w14:paraId="60AFD009" w14:textId="5C3CDEDE" w:rsidR="00BD002D" w:rsidRPr="00BD002D" w:rsidRDefault="00BD002D" w:rsidP="00BD002D">
            <w:pPr>
              <w:pStyle w:val="Tabulka"/>
              <w:tabs>
                <w:tab w:val="left" w:pos="975"/>
              </w:tabs>
              <w:cnfStyle w:val="000000000000" w:firstRow="0" w:lastRow="0" w:firstColumn="0" w:lastColumn="0" w:oddVBand="0" w:evenVBand="0" w:oddHBand="0" w:evenHBand="0" w:firstRowFirstColumn="0" w:firstRowLastColumn="0" w:lastRowFirstColumn="0" w:lastRowLastColumn="0"/>
              <w:rPr>
                <w:sz w:val="18"/>
              </w:rPr>
            </w:pPr>
            <w:r>
              <w:rPr>
                <w:sz w:val="18"/>
              </w:rPr>
              <w:t>Ing. František JACHAN</w:t>
            </w:r>
          </w:p>
        </w:tc>
      </w:tr>
      <w:tr w:rsidR="00BD002D" w:rsidRPr="00BD002D" w14:paraId="21D60A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F8804" w14:textId="45361246" w:rsidR="00BD002D" w:rsidRPr="00BD002D" w:rsidRDefault="00BD002D" w:rsidP="005A7872">
            <w:pPr>
              <w:pStyle w:val="Tabulka"/>
              <w:rPr>
                <w:sz w:val="18"/>
              </w:rPr>
            </w:pPr>
            <w:r w:rsidRPr="00BD002D">
              <w:rPr>
                <w:sz w:val="18"/>
              </w:rPr>
              <w:t>Adresa</w:t>
            </w:r>
          </w:p>
        </w:tc>
        <w:tc>
          <w:tcPr>
            <w:tcW w:w="5812" w:type="dxa"/>
          </w:tcPr>
          <w:p w14:paraId="35A1F8E4" w14:textId="1CFF3D6B" w:rsidR="00BD002D" w:rsidRPr="00BD002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Nerudova 773/1, 779 00 Olomouc</w:t>
            </w:r>
          </w:p>
        </w:tc>
      </w:tr>
      <w:tr w:rsidR="00BD002D" w:rsidRPr="00BD002D" w14:paraId="605873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703C51" w14:textId="686F7408" w:rsidR="00BD002D" w:rsidRPr="00BD002D" w:rsidRDefault="00BD002D" w:rsidP="005A7872">
            <w:pPr>
              <w:pStyle w:val="Tabulka"/>
              <w:rPr>
                <w:sz w:val="18"/>
              </w:rPr>
            </w:pPr>
            <w:r>
              <w:rPr>
                <w:sz w:val="18"/>
              </w:rPr>
              <w:t>E-mail</w:t>
            </w:r>
          </w:p>
        </w:tc>
        <w:tc>
          <w:tcPr>
            <w:tcW w:w="5812" w:type="dxa"/>
          </w:tcPr>
          <w:p w14:paraId="0BC6AFF1" w14:textId="7780DE19" w:rsidR="00BD002D" w:rsidRPr="00BD002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Jachan@spravazeleznic.cz</w:t>
            </w:r>
          </w:p>
        </w:tc>
      </w:tr>
      <w:tr w:rsidR="00BD002D" w:rsidRPr="00BD002D" w14:paraId="22BCA0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C43F839" w14:textId="72630BD4" w:rsidR="00BD002D" w:rsidRPr="00BD002D" w:rsidRDefault="00BD002D" w:rsidP="005A7872">
            <w:pPr>
              <w:pStyle w:val="Tabulka"/>
              <w:rPr>
                <w:sz w:val="18"/>
              </w:rPr>
            </w:pPr>
            <w:r>
              <w:rPr>
                <w:sz w:val="18"/>
              </w:rPr>
              <w:t>Telefon</w:t>
            </w:r>
          </w:p>
        </w:tc>
        <w:tc>
          <w:tcPr>
            <w:tcW w:w="5812" w:type="dxa"/>
          </w:tcPr>
          <w:p w14:paraId="16966565" w14:textId="22DB535E" w:rsidR="00BD002D" w:rsidRPr="00BD002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+420 724 248 755</w:t>
            </w:r>
          </w:p>
        </w:tc>
      </w:tr>
    </w:tbl>
    <w:p w14:paraId="5DAB16E3" w14:textId="77777777" w:rsidR="00ED29F1" w:rsidRPr="00BD002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B9F8FE5" w:rsidR="00ED29F1" w:rsidRPr="00F95FBD" w:rsidRDefault="00BD002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Dana OMASTOVÁ</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12F8D7C4" w:rsidR="00ED29F1" w:rsidRPr="00F95FB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CDP Přerov, Tovární 3286/12c, 750 02 Přerov I. Město</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710FB09" w:rsidR="00ED29F1" w:rsidRPr="00F95FB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Omastova@spravazelezni.cz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941E982" w:rsidR="00ED29F1" w:rsidRPr="00F95FBD" w:rsidRDefault="00BD002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+420 725 756 861</w:t>
            </w:r>
          </w:p>
        </w:tc>
      </w:tr>
    </w:tbl>
    <w:p w14:paraId="6CD7772E" w14:textId="77777777" w:rsidR="00ED29F1" w:rsidRPr="00F95FBD" w:rsidRDefault="00ED29F1" w:rsidP="00ED29F1">
      <w:pPr>
        <w:pStyle w:val="Textbezodsazen"/>
      </w:pPr>
    </w:p>
    <w:bookmarkEnd w:id="21"/>
    <w:bookmarkEnd w:id="22"/>
    <w:p w14:paraId="2E3A8078" w14:textId="1AA96DA2"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14425876"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3BD979E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10BAD">
              <w:rPr>
                <w:rFonts w:eastAsia="Times New Roman" w:cs="Calibri"/>
                <w:sz w:val="18"/>
                <w:lang w:eastAsia="cs-CZ"/>
              </w:rPr>
              <w:t>M</w:t>
            </w:r>
            <w:r w:rsidR="002C7A28" w:rsidRPr="00510BAD">
              <w:rPr>
                <w:rFonts w:eastAsia="Times New Roman" w:cs="Calibri"/>
                <w:sz w:val="18"/>
                <w:lang w:eastAsia="cs-CZ"/>
              </w:rPr>
              <w:t xml:space="preserve">inimálně </w:t>
            </w:r>
            <w:r w:rsidR="00510BAD" w:rsidRPr="00510BAD">
              <w:rPr>
                <w:rFonts w:eastAsia="Times New Roman" w:cs="Calibri"/>
                <w:sz w:val="18"/>
                <w:lang w:eastAsia="cs-CZ"/>
              </w:rPr>
              <w:t>15</w:t>
            </w:r>
            <w:r w:rsidR="002C7A28" w:rsidRPr="00510BAD">
              <w:rPr>
                <w:rFonts w:eastAsia="Times New Roman" w:cs="Calibri"/>
                <w:color w:val="000000"/>
                <w:sz w:val="18"/>
                <w:lang w:eastAsia="cs-CZ"/>
              </w:rPr>
              <w:t xml:space="preserve"> mil. Kč</w:t>
            </w:r>
            <w:r w:rsidR="002C7A28" w:rsidRPr="00510BAD">
              <w:rPr>
                <w:rFonts w:eastAsia="Times New Roman" w:cs="Calibri"/>
                <w:sz w:val="18"/>
                <w:lang w:eastAsia="cs-CZ"/>
              </w:rPr>
              <w:t xml:space="preserve"> na jednu pojistnou událost a </w:t>
            </w:r>
            <w:r w:rsidR="00510BAD" w:rsidRPr="00510BAD">
              <w:rPr>
                <w:rFonts w:eastAsia="Times New Roman" w:cs="Calibri"/>
                <w:sz w:val="18"/>
                <w:lang w:eastAsia="cs-CZ"/>
              </w:rPr>
              <w:t>15</w:t>
            </w:r>
            <w:r w:rsidR="002C7A28" w:rsidRPr="00510BAD">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A4382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760DF90"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5CCAA80F" w:rsidR="00285E8B" w:rsidRDefault="00285E8B" w:rsidP="00AF2741">
          <w:pPr>
            <w:pStyle w:val="Zpat0"/>
          </w:pPr>
          <w:r>
            <w:t>Zhotovení stavby</w:t>
          </w:r>
          <w:r w:rsidR="002E2018">
            <w:t xml:space="preserve"> (služby)</w:t>
          </w:r>
        </w:p>
        <w:p w14:paraId="187111A3" w14:textId="427CF5C1" w:rsidR="00285E8B" w:rsidRPr="00E7415D" w:rsidRDefault="00285E8B" w:rsidP="00A15E97">
          <w:pPr>
            <w:pStyle w:val="Zpat0"/>
            <w:rPr>
              <w:b/>
            </w:rPr>
          </w:pPr>
          <w:r>
            <w:t>VZ 635</w:t>
          </w:r>
          <w:r w:rsidR="00AF23B1">
            <w:t>24142</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3B5CAD6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CDE6EA0" w:rsidR="00285E8B" w:rsidRDefault="00285E8B" w:rsidP="00F95FBD">
          <w:pPr>
            <w:pStyle w:val="Zpat0"/>
          </w:pPr>
          <w:r>
            <w:t>SMLOUVA O DÍLO - Zhotovení stavby</w:t>
          </w:r>
          <w:r w:rsidR="002E2018">
            <w:t xml:space="preserve"> (služby)</w:t>
          </w:r>
        </w:p>
        <w:p w14:paraId="72D7A389" w14:textId="1F11665E" w:rsidR="00285E8B" w:rsidRDefault="00285E8B" w:rsidP="00F95FBD">
          <w:pPr>
            <w:pStyle w:val="Zpat0"/>
          </w:pPr>
          <w:r>
            <w:t>VS 635</w:t>
          </w:r>
          <w:r w:rsidR="00321B58">
            <w:t>24142</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6DF91370"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3F111DEB" w:rsidR="00285E8B" w:rsidRDefault="00285E8B" w:rsidP="00F95FBD">
          <w:pPr>
            <w:pStyle w:val="Zpat0"/>
          </w:pPr>
          <w:r>
            <w:t>SMLOUVA O DÍLO - Zhotovení stavby</w:t>
          </w:r>
          <w:r w:rsidR="002E2018">
            <w:t xml:space="preserve"> (služby)</w:t>
          </w:r>
        </w:p>
        <w:p w14:paraId="11341C10" w14:textId="0C6F4B2A" w:rsidR="00285E8B" w:rsidRDefault="00285E8B" w:rsidP="00F95FBD">
          <w:pPr>
            <w:pStyle w:val="Zpat0"/>
          </w:pPr>
          <w:r>
            <w:t>VS 635</w:t>
          </w:r>
          <w:r w:rsidR="00321B58">
            <w:t>24142</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4FAB5C5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46FD2C06" w:rsidR="00285E8B" w:rsidRDefault="00285E8B" w:rsidP="00F95FBD">
          <w:pPr>
            <w:pStyle w:val="Zpat0"/>
          </w:pPr>
          <w:r>
            <w:t>SMLOUVA O DÍLO - Zhotovení stavby</w:t>
          </w:r>
          <w:r w:rsidR="002E2018">
            <w:t xml:space="preserve"> (služby)</w:t>
          </w:r>
        </w:p>
        <w:p w14:paraId="6A228AD1" w14:textId="7AF1228E" w:rsidR="00285E8B" w:rsidRDefault="00285E8B" w:rsidP="00F95FBD">
          <w:pPr>
            <w:pStyle w:val="Zpat0"/>
          </w:pPr>
          <w:r>
            <w:t>VS 635</w:t>
          </w:r>
          <w:r w:rsidR="00321B58">
            <w:t>24142</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42B34E4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3BE61DE3" w:rsidR="00285E8B" w:rsidRDefault="00285E8B" w:rsidP="00F95FBD">
          <w:pPr>
            <w:pStyle w:val="Zpat0"/>
          </w:pPr>
          <w:r>
            <w:t>SMLOUVA O DÍLO - Zhotovení stavby</w:t>
          </w:r>
          <w:r w:rsidR="002E2018">
            <w:t xml:space="preserve"> (služby)</w:t>
          </w:r>
        </w:p>
        <w:p w14:paraId="1B9D4255" w14:textId="5E37A0EA" w:rsidR="00285E8B" w:rsidRDefault="00285E8B" w:rsidP="00F95FBD">
          <w:pPr>
            <w:pStyle w:val="Zpat0"/>
          </w:pPr>
          <w:r>
            <w:t>VS 635</w:t>
          </w:r>
          <w:r w:rsidR="00296ADF">
            <w:t>24142</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9188FF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023944D3" w:rsidR="00285E8B" w:rsidRDefault="00285E8B" w:rsidP="00F95FBD">
          <w:pPr>
            <w:pStyle w:val="Zpat0"/>
          </w:pPr>
          <w:r>
            <w:t>SMLOUVA O DÍLO - Zhotovení stavby</w:t>
          </w:r>
          <w:r w:rsidR="002E2018">
            <w:t xml:space="preserve"> (služby)</w:t>
          </w:r>
        </w:p>
        <w:p w14:paraId="40F61466" w14:textId="03A19317" w:rsidR="00285E8B" w:rsidRDefault="00285E8B" w:rsidP="00F95FBD">
          <w:pPr>
            <w:pStyle w:val="Zpat0"/>
          </w:pPr>
          <w:r>
            <w:t>VS 635</w:t>
          </w:r>
          <w:r w:rsidR="00BD002D">
            <w:t>24142</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E0344F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5EEA26AB" w:rsidR="00285E8B" w:rsidRDefault="00285E8B" w:rsidP="00F95FBD">
          <w:pPr>
            <w:pStyle w:val="Zpat0"/>
          </w:pPr>
          <w:r>
            <w:t>SMLOUVA O DÍLO - Zhotovení stavby</w:t>
          </w:r>
          <w:r w:rsidR="002E2018">
            <w:t xml:space="preserve"> (služby)</w:t>
          </w:r>
        </w:p>
        <w:p w14:paraId="4983A40B" w14:textId="7FA90C65" w:rsidR="00285E8B" w:rsidRDefault="00285E8B" w:rsidP="00F95FBD">
          <w:pPr>
            <w:pStyle w:val="Zpat0"/>
          </w:pPr>
          <w:r>
            <w:t>VS 635</w:t>
          </w:r>
          <w:r w:rsidR="00BD002D">
            <w:t>24142</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F0AFB1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54DB424E" w:rsidR="00285E8B" w:rsidRDefault="00285E8B" w:rsidP="00F95FBD">
          <w:pPr>
            <w:pStyle w:val="Zpat0"/>
          </w:pPr>
          <w:r>
            <w:t>SMLOUVA O DÍLO - Zhotovení stavby</w:t>
          </w:r>
          <w:r w:rsidR="002E2018">
            <w:t xml:space="preserve"> (služby)</w:t>
          </w:r>
        </w:p>
        <w:p w14:paraId="1C873F66" w14:textId="0E75D6BB" w:rsidR="00285E8B" w:rsidRDefault="00285E8B" w:rsidP="00F95FBD">
          <w:pPr>
            <w:pStyle w:val="Zpat0"/>
          </w:pPr>
          <w:r>
            <w:t>VS 635</w:t>
          </w:r>
          <w:r w:rsidR="00BD002D">
            <w:t>24142</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2C32E3E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5CB523C4" w:rsidR="00285E8B" w:rsidRDefault="00285E8B" w:rsidP="00F95FBD">
          <w:pPr>
            <w:pStyle w:val="Zpat0"/>
          </w:pPr>
          <w:r>
            <w:t>SMLOUVA O DÍLO - Zhotovení stavby</w:t>
          </w:r>
          <w:r w:rsidR="002E2018">
            <w:t xml:space="preserve"> (služby)</w:t>
          </w:r>
        </w:p>
        <w:p w14:paraId="5AED8FDE" w14:textId="7F9E32E1" w:rsidR="00285E8B" w:rsidRDefault="00285E8B" w:rsidP="00F95FBD">
          <w:pPr>
            <w:pStyle w:val="Zpat0"/>
          </w:pPr>
          <w:r>
            <w:t>VS 635</w:t>
          </w:r>
          <w:r w:rsidR="00BD002D">
            <w:t>24142</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1FFFBA6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6E0A7F3A" w:rsidR="00285E8B" w:rsidRDefault="00285E8B" w:rsidP="00F95FBD">
          <w:pPr>
            <w:pStyle w:val="Zpat0"/>
          </w:pPr>
          <w:r>
            <w:t>SMLOUVA O DÍLO - Zhotovení stavby</w:t>
          </w:r>
          <w:r w:rsidR="002E2018">
            <w:t xml:space="preserve"> (služby)</w:t>
          </w:r>
        </w:p>
        <w:p w14:paraId="1C48704A" w14:textId="23CE994F" w:rsidR="00285E8B" w:rsidRDefault="00285E8B" w:rsidP="00F95FBD">
          <w:pPr>
            <w:pStyle w:val="Zpat0"/>
          </w:pPr>
          <w:r>
            <w:t>VS 635</w:t>
          </w:r>
          <w:r w:rsidR="00BD002D">
            <w:t>24142</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2A3101D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38B9691F" w:rsidR="00285E8B" w:rsidRDefault="00285E8B" w:rsidP="00F95FBD">
          <w:pPr>
            <w:pStyle w:val="Zpat0"/>
          </w:pPr>
          <w:r>
            <w:t>SMLOUVA O DÍLO - Zhotovení stavby</w:t>
          </w:r>
          <w:r w:rsidR="002E2018">
            <w:t xml:space="preserve"> (služby)</w:t>
          </w:r>
        </w:p>
        <w:p w14:paraId="0810EFE1" w14:textId="127810EA" w:rsidR="00285E8B" w:rsidRDefault="00285E8B" w:rsidP="00F95FBD">
          <w:pPr>
            <w:pStyle w:val="Zpat0"/>
          </w:pPr>
          <w:r>
            <w:t>VS 635</w:t>
          </w:r>
          <w:r w:rsidR="00BD002D">
            <w:t>24142</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158B9E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82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1C312891" w:rsidR="00285E8B" w:rsidRDefault="00285E8B" w:rsidP="00F95FBD">
          <w:pPr>
            <w:pStyle w:val="Zpat0"/>
          </w:pPr>
          <w:r>
            <w:t>SMLOUVA O DÍLO - Zhotovení stavby</w:t>
          </w:r>
          <w:r w:rsidR="002E2018">
            <w:t xml:space="preserve"> (služby)</w:t>
          </w:r>
        </w:p>
        <w:p w14:paraId="7E32C0F5" w14:textId="7CF2E0C9" w:rsidR="00285E8B" w:rsidRDefault="00285E8B" w:rsidP="00F95FBD">
          <w:pPr>
            <w:pStyle w:val="Zpat0"/>
          </w:pPr>
          <w:r>
            <w:t>VS 635</w:t>
          </w:r>
          <w:r w:rsidR="00321B58">
            <w:t>24142</w:t>
          </w:r>
        </w:p>
      </w:tc>
    </w:tr>
  </w:tbl>
  <w:p w14:paraId="2B76B789" w14:textId="1AEA3F5F" w:rsidR="00285E8B" w:rsidRPr="00B8518B" w:rsidRDefault="002E2018" w:rsidP="00B8518B">
    <w:pPr>
      <w:pStyle w:val="Zpat"/>
      <w:rPr>
        <w:sz w:val="2"/>
        <w:szCs w:val="2"/>
      </w:rPr>
    </w:pPr>
    <w:r>
      <w:rPr>
        <w:sz w:val="2"/>
        <w:szCs w:val="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0AEF"/>
    <w:rsid w:val="001B4E74"/>
    <w:rsid w:val="001C2F27"/>
    <w:rsid w:val="001C3314"/>
    <w:rsid w:val="001C645F"/>
    <w:rsid w:val="001D1FB1"/>
    <w:rsid w:val="001E678E"/>
    <w:rsid w:val="002038D5"/>
    <w:rsid w:val="002071BB"/>
    <w:rsid w:val="00207854"/>
    <w:rsid w:val="00207DF5"/>
    <w:rsid w:val="00214C3E"/>
    <w:rsid w:val="00237FF8"/>
    <w:rsid w:val="00240B81"/>
    <w:rsid w:val="00242AA8"/>
    <w:rsid w:val="00247D01"/>
    <w:rsid w:val="00250AB7"/>
    <w:rsid w:val="00261A5B"/>
    <w:rsid w:val="00262E5B"/>
    <w:rsid w:val="00276AFE"/>
    <w:rsid w:val="00281D09"/>
    <w:rsid w:val="0028389C"/>
    <w:rsid w:val="00285E8B"/>
    <w:rsid w:val="00296ADF"/>
    <w:rsid w:val="002A3B57"/>
    <w:rsid w:val="002A5468"/>
    <w:rsid w:val="002A784C"/>
    <w:rsid w:val="002C31BF"/>
    <w:rsid w:val="002C3F01"/>
    <w:rsid w:val="002C6A93"/>
    <w:rsid w:val="002C7A28"/>
    <w:rsid w:val="002D7FD6"/>
    <w:rsid w:val="002E0CD7"/>
    <w:rsid w:val="002E0CFB"/>
    <w:rsid w:val="002E1C36"/>
    <w:rsid w:val="002E2018"/>
    <w:rsid w:val="002E5C7B"/>
    <w:rsid w:val="002F4333"/>
    <w:rsid w:val="002F6CCC"/>
    <w:rsid w:val="00301DDD"/>
    <w:rsid w:val="00306D0E"/>
    <w:rsid w:val="0031157C"/>
    <w:rsid w:val="00321B58"/>
    <w:rsid w:val="00327EEF"/>
    <w:rsid w:val="0033239F"/>
    <w:rsid w:val="00337891"/>
    <w:rsid w:val="0034274B"/>
    <w:rsid w:val="00343E48"/>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27BC2"/>
    <w:rsid w:val="00431586"/>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0BAD"/>
    <w:rsid w:val="00511AB9"/>
    <w:rsid w:val="0051246F"/>
    <w:rsid w:val="00513EF7"/>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33BC"/>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20A6"/>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43828"/>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3B1"/>
    <w:rsid w:val="00AF2741"/>
    <w:rsid w:val="00AF57C0"/>
    <w:rsid w:val="00B008D5"/>
    <w:rsid w:val="00B02AB2"/>
    <w:rsid w:val="00B02F73"/>
    <w:rsid w:val="00B042DE"/>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002D"/>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058E"/>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703C7"/>
    <w:rsid w:val="00D831A3"/>
    <w:rsid w:val="00D83EC9"/>
    <w:rsid w:val="00D945C6"/>
    <w:rsid w:val="00D97BE3"/>
    <w:rsid w:val="00DA3711"/>
    <w:rsid w:val="00DA5B8D"/>
    <w:rsid w:val="00DA5BA4"/>
    <w:rsid w:val="00DB06FC"/>
    <w:rsid w:val="00DC49CD"/>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6FC2"/>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80C"/>
    <w:rsid w:val="00F659EB"/>
    <w:rsid w:val="00F70851"/>
    <w:rsid w:val="00F762A8"/>
    <w:rsid w:val="00F8539C"/>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BD0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025C9F"/>
    <w:rsid w:val="00132357"/>
    <w:rsid w:val="001B0AEF"/>
    <w:rsid w:val="00306D0E"/>
    <w:rsid w:val="00400FDD"/>
    <w:rsid w:val="00621BE5"/>
    <w:rsid w:val="006E68CD"/>
    <w:rsid w:val="007933BC"/>
    <w:rsid w:val="008C6795"/>
    <w:rsid w:val="00917BB8"/>
    <w:rsid w:val="009F4FDD"/>
    <w:rsid w:val="00A97E69"/>
    <w:rsid w:val="00B042DE"/>
    <w:rsid w:val="00D52ED3"/>
    <w:rsid w:val="00F6580C"/>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28</Pages>
  <Words>7206</Words>
  <Characters>42518</Characters>
  <Application>Microsoft Office Word</Application>
  <DocSecurity>0</DocSecurity>
  <Lines>354</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cp:revision>
  <cp:lastPrinted>2019-09-27T11:09:00Z</cp:lastPrinted>
  <dcterms:created xsi:type="dcterms:W3CDTF">2024-08-08T06:03:00Z</dcterms:created>
  <dcterms:modified xsi:type="dcterms:W3CDTF">2024-08-08T08:30:00Z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